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035C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25035C" w:rsidRDefault="006C4951" w:rsidP="0062368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.2015</w:t>
      </w:r>
      <w:r w:rsidR="00AB1085" w:rsidRPr="0025035C">
        <w:rPr>
          <w:rFonts w:ascii="Times New Roman" w:hAnsi="Times New Roman" w:cs="Times New Roman"/>
          <w:sz w:val="28"/>
          <w:szCs w:val="28"/>
          <w:lang w:eastAsia="ru-RU"/>
        </w:rPr>
        <w:t> № 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 xml:space="preserve"> 33</w:t>
      </w:r>
    </w:p>
    <w:p w:rsidR="00AB1085" w:rsidRPr="00AB1085" w:rsidRDefault="0025035C" w:rsidP="0062368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AB1085" w:rsidRPr="00AB1085" w:rsidRDefault="00AB1085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02C" w:rsidRDefault="00AB1085" w:rsidP="004740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02C">
        <w:rPr>
          <w:rFonts w:ascii="Times New Roman" w:hAnsi="Times New Roman" w:cs="Times New Roman"/>
          <w:sz w:val="28"/>
          <w:szCs w:val="28"/>
        </w:rPr>
        <w:t>по проекту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 бюджета Лермонтовск</w:t>
      </w:r>
      <w:r w:rsidR="00623688">
        <w:rPr>
          <w:rFonts w:ascii="Times New Roman" w:hAnsi="Times New Roman" w:cs="Times New Roman"/>
          <w:sz w:val="28"/>
          <w:szCs w:val="28"/>
        </w:rPr>
        <w:t>ого сельского  поселения на 2016 год</w:t>
      </w:r>
    </w:p>
    <w:p w:rsidR="00623688" w:rsidRPr="0047402C" w:rsidRDefault="00623688" w:rsidP="004740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B1085" w:rsidRDefault="00AB1085" w:rsidP="0047402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35C" w:rsidRPr="0025035C" w:rsidRDefault="0025035C" w:rsidP="00F742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Уставом Лермонтовского сельского поселения и Положением о публичных слушаниях в Лермонтовском сельском поселении, Положением о бюджетном процессе в Лермонтовском сельском поселении Совет депутатов Лермонтовского сельского поселения,</w:t>
      </w:r>
    </w:p>
    <w:p w:rsidR="00AB1085" w:rsidRPr="00AB1085" w:rsidRDefault="0025035C" w:rsidP="00F742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25035C" w:rsidP="00F74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1. Назначить на территории </w:t>
      </w:r>
      <w:r w:rsidRPr="0047402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</w:t>
      </w:r>
      <w:r w:rsidR="0047402C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 бюджета Лермонтовск</w:t>
      </w:r>
      <w:r w:rsidR="00623688">
        <w:rPr>
          <w:rFonts w:ascii="Times New Roman" w:hAnsi="Times New Roman" w:cs="Times New Roman"/>
          <w:sz w:val="28"/>
          <w:szCs w:val="28"/>
        </w:rPr>
        <w:t>ого сельского  поселения на 2016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год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опубликования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Сборнике нормативных правовых актов и размещения на сайте администрации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47402C" w:rsidRDefault="0025035C" w:rsidP="00F7420A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7402C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</w:t>
      </w:r>
      <w:r w:rsidR="0047402C">
        <w:rPr>
          <w:sz w:val="28"/>
          <w:szCs w:val="28"/>
        </w:rPr>
        <w:t xml:space="preserve"> </w:t>
      </w:r>
      <w:r w:rsidR="0047402C" w:rsidRPr="0047402C">
        <w:rPr>
          <w:rFonts w:ascii="Times New Roman" w:hAnsi="Times New Roman" w:cs="Times New Roman"/>
          <w:sz w:val="28"/>
          <w:szCs w:val="28"/>
        </w:rPr>
        <w:t>проект  бюджета Лермонтовск</w:t>
      </w:r>
      <w:r w:rsidR="00623688">
        <w:rPr>
          <w:rFonts w:ascii="Times New Roman" w:hAnsi="Times New Roman" w:cs="Times New Roman"/>
          <w:sz w:val="28"/>
          <w:szCs w:val="28"/>
        </w:rPr>
        <w:t>ого сельского  поселения на 2016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год </w:t>
      </w:r>
      <w:r w:rsidR="00623688">
        <w:rPr>
          <w:rFonts w:ascii="Times New Roman" w:hAnsi="Times New Roman" w:cs="Times New Roman"/>
          <w:sz w:val="28"/>
          <w:szCs w:val="28"/>
        </w:rPr>
        <w:t>(</w:t>
      </w:r>
      <w:r w:rsidR="002B215B">
        <w:rPr>
          <w:rFonts w:ascii="Times New Roman" w:hAnsi="Times New Roman" w:cs="Times New Roman"/>
          <w:sz w:val="28"/>
          <w:szCs w:val="28"/>
        </w:rPr>
        <w:t xml:space="preserve">по форме Приложения 1 к настоящему решению)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для обсуждения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.2015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г., обсуждение провести в течени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B215B">
        <w:rPr>
          <w:rFonts w:ascii="Times New Roman" w:hAnsi="Times New Roman" w:cs="Times New Roman"/>
          <w:sz w:val="28"/>
          <w:szCs w:val="28"/>
          <w:lang w:eastAsia="ru-RU"/>
        </w:rPr>
        <w:t>семи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 дней, 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с 17.11.2015 по 24.11.2015</w:t>
      </w:r>
      <w:r w:rsidR="002B215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AB1085" w:rsidRPr="00443CA1" w:rsidRDefault="0025035C" w:rsidP="00F74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3. Для рассмотрения предложений от граждан, поступающих в порядке обсуждения </w:t>
      </w:r>
      <w:r w:rsidR="00443CA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43CA1" w:rsidRPr="00443CA1">
        <w:rPr>
          <w:rFonts w:ascii="Times New Roman" w:hAnsi="Times New Roman" w:cs="Times New Roman"/>
          <w:sz w:val="28"/>
          <w:szCs w:val="28"/>
        </w:rPr>
        <w:t xml:space="preserve">  бюджета Лермонтовск</w:t>
      </w:r>
      <w:r w:rsidR="00623688">
        <w:rPr>
          <w:rFonts w:ascii="Times New Roman" w:hAnsi="Times New Roman" w:cs="Times New Roman"/>
          <w:sz w:val="28"/>
          <w:szCs w:val="28"/>
        </w:rPr>
        <w:t>ого сельского  поселения на 2016</w:t>
      </w:r>
      <w:r w:rsidR="00443CA1" w:rsidRPr="00443CA1">
        <w:rPr>
          <w:rFonts w:ascii="Times New Roman" w:hAnsi="Times New Roman" w:cs="Times New Roman"/>
          <w:sz w:val="28"/>
          <w:szCs w:val="28"/>
        </w:rPr>
        <w:t xml:space="preserve"> год</w:t>
      </w:r>
      <w:r w:rsidR="00AB1085" w:rsidRPr="00443CA1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рабочую группу в составе: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287"/>
      </w:tblGrid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Ирина Николаевна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депутатской комиссии по финансово-экономическому развитию района и налоговой политике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7C63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  <w:r w:rsidR="00AB1085"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Людмила Владимировна</w:t>
            </w:r>
          </w:p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сельского поселения</w:t>
            </w:r>
          </w:p>
        </w:tc>
      </w:tr>
    </w:tbl>
    <w:p w:rsidR="00AB1085" w:rsidRPr="00AB1085" w:rsidRDefault="00AB1085" w:rsidP="00AB1085">
      <w:pPr>
        <w:spacing w:after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3.1. Рабочей группе принимать предложения граждан в письменном виде (по форме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2B215B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к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тоящему решению) в кабинете специалиста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Лермонтовка, ул. Школьная, д.20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688" w:rsidRDefault="00623688" w:rsidP="0062368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23688" w:rsidRPr="00AB1085" w:rsidRDefault="00623688" w:rsidP="0062368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3.2. Поступившие предложения рассмотрет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ь на заседании рабочей группы 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 xml:space="preserve">.2015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г., по итогам рассмотрения предлож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>ений подготовить заключение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4. Результаты публичных слушаний рассмотреть на очередном заседании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декабре 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года, с последующим размещением их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депутатскую комиссию по финансово-экономическому 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налоговой политике (</w:t>
      </w:r>
      <w:r>
        <w:rPr>
          <w:rFonts w:ascii="Times New Roman" w:hAnsi="Times New Roman" w:cs="Times New Roman"/>
          <w:sz w:val="28"/>
          <w:szCs w:val="28"/>
          <w:lang w:eastAsia="ru-RU"/>
        </w:rPr>
        <w:t>Фомина И.Н.)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7. Настоящее решение вступает в силу после его официального опубликования.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68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С.А. Королев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688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688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Е.Н. Дегтярёв</w:t>
      </w:r>
    </w:p>
    <w:p w:rsidR="00AB1085" w:rsidRPr="00623688" w:rsidRDefault="00AB1085" w:rsidP="00AB1085">
      <w:pPr>
        <w:spacing w:before="120" w:after="1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688" w:rsidRDefault="00623688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688" w:rsidRDefault="00623688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2BE0" w:rsidRPr="00AB1085" w:rsidRDefault="00623688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Приложение  1</w:t>
      </w:r>
    </w:p>
    <w:p w:rsidR="00452BE0" w:rsidRPr="00AB1085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к р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ешению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452BE0" w:rsidRPr="00AB1085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452BE0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от 13.11.2015 №  33</w:t>
      </w:r>
    </w:p>
    <w:p w:rsidR="00A2527A" w:rsidRDefault="00A2527A" w:rsidP="00452BE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688" w:rsidRPr="00623688" w:rsidRDefault="00623688" w:rsidP="006236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>Основные направления бюджетной и налоговой политики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Основные направления бюджетной и налоговой политики на 2016  год сформированы  на основе прогноза социально – экономического развития поселения на 2016 год.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При подготовке проекта бюджета и формирования бюджетной и налоговой  политики на 2016 год администрация исходит из необходимости решения следующих задач:</w:t>
      </w:r>
    </w:p>
    <w:p w:rsidR="00623688" w:rsidRPr="00623688" w:rsidRDefault="00623688" w:rsidP="00623688">
      <w:pPr>
        <w:pStyle w:val="a6"/>
        <w:numPr>
          <w:ilvl w:val="1"/>
          <w:numId w:val="1"/>
        </w:numPr>
        <w:rPr>
          <w:sz w:val="26"/>
          <w:szCs w:val="26"/>
        </w:rPr>
      </w:pPr>
      <w:proofErr w:type="gramStart"/>
      <w:r w:rsidRPr="00623688">
        <w:rPr>
          <w:sz w:val="26"/>
          <w:szCs w:val="26"/>
        </w:rPr>
        <w:t>Обеспечение долгосрочной сбалансированности и устойчивости 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</w:t>
      </w:r>
      <w:proofErr w:type="gramEnd"/>
    </w:p>
    <w:p w:rsidR="00623688" w:rsidRPr="00623688" w:rsidRDefault="00623688" w:rsidP="00623688">
      <w:pPr>
        <w:pStyle w:val="a6"/>
        <w:numPr>
          <w:ilvl w:val="1"/>
          <w:numId w:val="1"/>
        </w:numPr>
        <w:rPr>
          <w:sz w:val="26"/>
          <w:szCs w:val="26"/>
        </w:rPr>
      </w:pPr>
      <w:r w:rsidRPr="00623688">
        <w:rPr>
          <w:sz w:val="26"/>
          <w:szCs w:val="26"/>
        </w:rPr>
        <w:t>Оптимизация структуры рас</w:t>
      </w:r>
      <w:bookmarkStart w:id="0" w:name="_GoBack"/>
      <w:bookmarkEnd w:id="0"/>
      <w:r w:rsidRPr="00623688">
        <w:rPr>
          <w:sz w:val="26"/>
          <w:szCs w:val="26"/>
        </w:rPr>
        <w:t>ходов бюджета</w:t>
      </w:r>
    </w:p>
    <w:p w:rsidR="00623688" w:rsidRPr="00623688" w:rsidRDefault="00623688" w:rsidP="00623688">
      <w:pPr>
        <w:pStyle w:val="a6"/>
        <w:numPr>
          <w:ilvl w:val="1"/>
          <w:numId w:val="1"/>
        </w:numPr>
        <w:rPr>
          <w:sz w:val="26"/>
          <w:szCs w:val="26"/>
        </w:rPr>
      </w:pPr>
      <w:r w:rsidRPr="00623688">
        <w:rPr>
          <w:sz w:val="26"/>
          <w:szCs w:val="26"/>
        </w:rPr>
        <w:t xml:space="preserve">Развитие </w:t>
      </w:r>
      <w:proofErr w:type="spellStart"/>
      <w:r w:rsidRPr="00623688">
        <w:rPr>
          <w:sz w:val="26"/>
          <w:szCs w:val="26"/>
        </w:rPr>
        <w:t>программно</w:t>
      </w:r>
      <w:proofErr w:type="spellEnd"/>
      <w:r w:rsidRPr="00623688">
        <w:rPr>
          <w:sz w:val="26"/>
          <w:szCs w:val="26"/>
        </w:rPr>
        <w:t xml:space="preserve"> целевых методов управления.</w:t>
      </w:r>
    </w:p>
    <w:p w:rsidR="00623688" w:rsidRPr="00623688" w:rsidRDefault="00623688" w:rsidP="00623688">
      <w:pPr>
        <w:pStyle w:val="a6"/>
        <w:numPr>
          <w:ilvl w:val="1"/>
          <w:numId w:val="1"/>
        </w:numPr>
        <w:rPr>
          <w:sz w:val="26"/>
          <w:szCs w:val="26"/>
        </w:rPr>
      </w:pPr>
      <w:r w:rsidRPr="00623688">
        <w:rPr>
          <w:sz w:val="26"/>
          <w:szCs w:val="26"/>
        </w:rPr>
        <w:t>Переход к формированию муниципальных услуг физическим и юридическим лицам на основе единого перечня и единого норматива их финансового обеспечения.</w:t>
      </w:r>
    </w:p>
    <w:p w:rsidR="00623688" w:rsidRPr="00623688" w:rsidRDefault="00623688" w:rsidP="00623688">
      <w:pPr>
        <w:pStyle w:val="a6"/>
        <w:numPr>
          <w:ilvl w:val="1"/>
          <w:numId w:val="1"/>
        </w:numPr>
        <w:rPr>
          <w:sz w:val="26"/>
          <w:szCs w:val="26"/>
        </w:rPr>
      </w:pPr>
      <w:r w:rsidRPr="00623688">
        <w:rPr>
          <w:sz w:val="26"/>
          <w:szCs w:val="26"/>
        </w:rPr>
        <w:t>Повышение прозрачности бюджета и бюджетного процесса.</w:t>
      </w:r>
    </w:p>
    <w:p w:rsidR="00623688" w:rsidRPr="00623688" w:rsidRDefault="00623688" w:rsidP="00623688">
      <w:pPr>
        <w:pStyle w:val="a6"/>
        <w:numPr>
          <w:ilvl w:val="1"/>
          <w:numId w:val="1"/>
        </w:numPr>
        <w:rPr>
          <w:sz w:val="26"/>
          <w:szCs w:val="26"/>
        </w:rPr>
      </w:pPr>
      <w:r w:rsidRPr="00623688">
        <w:rPr>
          <w:sz w:val="26"/>
          <w:szCs w:val="26"/>
        </w:rPr>
        <w:t>Повышение качества управления муниципальными финансами.</w:t>
      </w:r>
    </w:p>
    <w:p w:rsidR="00623688" w:rsidRPr="00623688" w:rsidRDefault="00623688" w:rsidP="00623688">
      <w:pPr>
        <w:pStyle w:val="a6"/>
        <w:numPr>
          <w:ilvl w:val="1"/>
          <w:numId w:val="1"/>
        </w:numPr>
        <w:rPr>
          <w:sz w:val="26"/>
          <w:szCs w:val="26"/>
        </w:rPr>
      </w:pPr>
      <w:r w:rsidRPr="00623688">
        <w:rPr>
          <w:sz w:val="26"/>
          <w:szCs w:val="26"/>
        </w:rPr>
        <w:t>Повышение качества муниципального контроля</w:t>
      </w:r>
    </w:p>
    <w:p w:rsidR="00623688" w:rsidRDefault="00623688" w:rsidP="00623688">
      <w:pPr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23688" w:rsidRPr="00623688" w:rsidRDefault="00623688" w:rsidP="00623688">
      <w:pPr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 Для выполнения поставленных задач в области доходов планируется обеспечить: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 1. Увеличение собираемости налогов, сокращение задолженности по платежам в бюджет.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 2. Реализация мер, направленных на повышение официальных доходов работающего населения.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 3. Повышение эффективности управления муниципальной собственностью.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 Бюджетная политика в области расходов направлена на сохранение социальной направленности бюджета: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 1. В 2016 году и продолжится политика устойчивого роста заработной платы работников бюджетной сферы с установлением прямой зависимости уровня оплаты труда от производительности и качества.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23688">
        <w:rPr>
          <w:rFonts w:ascii="Times New Roman" w:hAnsi="Times New Roman" w:cs="Times New Roman"/>
          <w:b/>
          <w:sz w:val="26"/>
          <w:szCs w:val="26"/>
        </w:rPr>
        <w:t xml:space="preserve">Межбюджетные отношения </w:t>
      </w:r>
      <w:r w:rsidRPr="00623688">
        <w:rPr>
          <w:rFonts w:ascii="Times New Roman" w:hAnsi="Times New Roman" w:cs="Times New Roman"/>
          <w:sz w:val="26"/>
          <w:szCs w:val="26"/>
        </w:rPr>
        <w:t xml:space="preserve"> формируются в соответствии с требованиями Бюджетного кодекса Российской Федерации, Федерального закона от 06.10.2003 №131-ФЗ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« Об общих принципах организации местного самоуправления в 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623688" w:rsidRPr="00623688" w:rsidRDefault="00623688" w:rsidP="00623688">
      <w:pPr>
        <w:rPr>
          <w:rFonts w:ascii="Times New Roman" w:hAnsi="Times New Roman" w:cs="Times New Roman"/>
          <w:sz w:val="26"/>
          <w:szCs w:val="26"/>
        </w:rPr>
      </w:pPr>
    </w:p>
    <w:p w:rsidR="00623688" w:rsidRPr="00623688" w:rsidRDefault="00623688" w:rsidP="006236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lastRenderedPageBreak/>
        <w:t>ДОХОДЫ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 Формирование доходов бюджета поселения на 2016 год  осуществлялось на основе прогноза социально </w:t>
      </w:r>
      <w:proofErr w:type="gramStart"/>
      <w:r w:rsidRPr="00623688">
        <w:rPr>
          <w:rFonts w:ascii="Times New Roman" w:hAnsi="Times New Roman" w:cs="Times New Roman"/>
          <w:sz w:val="26"/>
          <w:szCs w:val="26"/>
        </w:rPr>
        <w:t>–э</w:t>
      </w:r>
      <w:proofErr w:type="gramEnd"/>
      <w:r w:rsidRPr="00623688">
        <w:rPr>
          <w:rFonts w:ascii="Times New Roman" w:hAnsi="Times New Roman" w:cs="Times New Roman"/>
          <w:sz w:val="26"/>
          <w:szCs w:val="26"/>
        </w:rPr>
        <w:t>кономического развития на 2016 год, основных направлений бюджетной и налоговой политики, оценки поступлений доходов в бюджет в 2014 году и первом полугодии 2015 года.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 В расчетах доходов бюджета учитывалось действующее налоговое, бюджетное законодательства.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Для планирования доходов бюджета использовалась методика планирования доходов, основанная на расчетном определении налоговой </w:t>
      </w:r>
      <w:proofErr w:type="gramStart"/>
      <w:r w:rsidRPr="00623688">
        <w:rPr>
          <w:rFonts w:ascii="Times New Roman" w:hAnsi="Times New Roman" w:cs="Times New Roman"/>
          <w:sz w:val="26"/>
          <w:szCs w:val="26"/>
        </w:rPr>
        <w:t>базы в разрезе источников формирования доходов бюджета</w:t>
      </w:r>
      <w:proofErr w:type="gramEnd"/>
      <w:r w:rsidRPr="00623688">
        <w:rPr>
          <w:rFonts w:ascii="Times New Roman" w:hAnsi="Times New Roman" w:cs="Times New Roman"/>
          <w:sz w:val="26"/>
          <w:szCs w:val="26"/>
        </w:rPr>
        <w:t xml:space="preserve">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На 2016 год нормативы отчислений установлены в следующих размерах: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- по единому налогу, взимаемому в связи с применением упрощенной системы налогообложения – 27%;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- по транспортному налогу -50%; 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- по налогу на доходы физических лиц -10%;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- по земельному налогу, зачисляемому на счета поселения – 100%;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- по налогу на имущество физических лиц – 100%,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Расчеты доходов на 2016 год по группам, подгруппам классификации доходов.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>Налог на доходы физических лиц.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Налог на доходы физических лиц взимается в соответствии с главой 23 Налогового Кодекса РФ. В части налогообложения налогом на доходы физических лиц в среднесрочной перспективе будет сохранена ставка в размере 13%.Ожидаемое поступление налога на доходы физических лиц на 2015 год рассчитано 3 методами: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- исходя из удельного веса поступлений за прошлый год, 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-фактических поступлений, 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- методом индексации, исходя из оценочных показателей к 2014 году.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Ожидаемое поступление налога на доходы физических лиц на 2016 г в расчет принята сумма в размере 941,2 тыс. рублей.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>Налоги на совокупный доход.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Расчет поступлений налога по упрощенной системе налогообложения рассчитан 3 методами: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- исходя из фактических поступлений,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- по удельному весу в поступлениях прошлого года, 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-  методом индексации.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За ожидаемое поступление налога на 2016 год  принята сумма 164,6 тыс. руб.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>Налог на имущество физических лиц.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В бюджет поселения поступает 100% налога на имущество физических лиц.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Налог на </w:t>
      </w:r>
      <w:r>
        <w:rPr>
          <w:rFonts w:ascii="Times New Roman" w:hAnsi="Times New Roman" w:cs="Times New Roman"/>
          <w:sz w:val="26"/>
          <w:szCs w:val="26"/>
        </w:rPr>
        <w:t>имущество рассчитан 3 методами</w:t>
      </w:r>
      <w:r w:rsidRPr="00623688">
        <w:rPr>
          <w:rFonts w:ascii="Times New Roman" w:hAnsi="Times New Roman" w:cs="Times New Roman"/>
          <w:sz w:val="26"/>
          <w:szCs w:val="26"/>
        </w:rPr>
        <w:t>: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- исходя из фактического поступления,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- по удельному весу в поступлениях прошлого года,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- методом индексации.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Ожидаемое поступление налога на 2016 год определен в размере  – 200,8 тыс. руб.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lastRenderedPageBreak/>
        <w:t>Транспортный налог.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Расчет ожидаемого поступления транспортного налога рассчитан 3 способами: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- путем удельного веса в поступлениях прошлого года,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- исходя из фактического поступления налога,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- путем индексации.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Ожидаемое исполнение поступлений по транспортному налогу на 2015 год рассчитано, исходя из оценочных показателей поступления налога за 2014 год в 2015 году  по плановым показателям в размере 1291,0 тыс. руб.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>Земельный налог.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Полномочия по земельным отношениям переданы районному комитету по управлению муниципальным имуществом. Прогноз определен на основе данных рассчитанных  отделом земельных отношений.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>АРЕНДНАЯ ПЛАТА ЗА ЗЕМЛЮ</w:t>
      </w:r>
      <w:r w:rsidRPr="00623688">
        <w:rPr>
          <w:rFonts w:ascii="Times New Roman" w:hAnsi="Times New Roman" w:cs="Times New Roman"/>
          <w:sz w:val="26"/>
          <w:szCs w:val="26"/>
        </w:rPr>
        <w:t xml:space="preserve"> до ее разграничения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623688">
        <w:rPr>
          <w:rFonts w:ascii="Times New Roman" w:hAnsi="Times New Roman" w:cs="Times New Roman"/>
          <w:sz w:val="26"/>
          <w:szCs w:val="26"/>
        </w:rPr>
        <w:t>Рассчитана</w:t>
      </w:r>
      <w:proofErr w:type="gramEnd"/>
      <w:r w:rsidRPr="00623688">
        <w:rPr>
          <w:rFonts w:ascii="Times New Roman" w:hAnsi="Times New Roman" w:cs="Times New Roman"/>
          <w:sz w:val="26"/>
          <w:szCs w:val="26"/>
        </w:rPr>
        <w:t xml:space="preserve"> земельным комитетом администрации Бикинского муниципального района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Ожидаемое поступление на 2016 год -398,6 тыс. руб.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23688" w:rsidRPr="00623688" w:rsidRDefault="00623688" w:rsidP="006236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>ПРОЧИЕ ДОХОДЫ ОТ ИСПОЛЬЗОВАНИЯ ИМУЩЕСТВА (НАЙМ ЖИЛЬЯ)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Поступление средств за найм жилья рассчитано исходя из фактического полугодового поступления, методом индексации.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Поступило средств за 2014 год =309,8 тыс. руб.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Поступило за 6 месяцев 2014 года – 89,3  тыс. руб.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В связи с передачей жилищного фонда Восточного городка от Министерства обороны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Поступило за 6 месяцев 2015 года – 345,2 тыс. руб. 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Ожидаемое поступление </w:t>
      </w:r>
      <w:proofErr w:type="gramStart"/>
      <w:r w:rsidRPr="00623688">
        <w:rPr>
          <w:rFonts w:ascii="Times New Roman" w:hAnsi="Times New Roman" w:cs="Times New Roman"/>
          <w:sz w:val="26"/>
          <w:szCs w:val="26"/>
        </w:rPr>
        <w:t>исходя из фактического поступления (собираемость платежей составляет</w:t>
      </w:r>
      <w:proofErr w:type="gramEnd"/>
      <w:r w:rsidRPr="00623688">
        <w:rPr>
          <w:rFonts w:ascii="Times New Roman" w:hAnsi="Times New Roman" w:cs="Times New Roman"/>
          <w:sz w:val="26"/>
          <w:szCs w:val="26"/>
        </w:rPr>
        <w:t xml:space="preserve"> 65%)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345,2 /6*12=690,4 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623688">
        <w:rPr>
          <w:rFonts w:ascii="Times New Roman" w:hAnsi="Times New Roman" w:cs="Times New Roman"/>
          <w:sz w:val="26"/>
          <w:szCs w:val="26"/>
        </w:rPr>
        <w:t>Ожидаемое поступление на 2015 год учитывая</w:t>
      </w:r>
      <w:proofErr w:type="gramEnd"/>
      <w:r w:rsidRPr="00623688">
        <w:rPr>
          <w:rFonts w:ascii="Times New Roman" w:hAnsi="Times New Roman" w:cs="Times New Roman"/>
          <w:sz w:val="26"/>
          <w:szCs w:val="26"/>
        </w:rPr>
        <w:t xml:space="preserve"> собираемость платежей 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690,4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368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623688">
        <w:rPr>
          <w:rFonts w:ascii="Times New Roman" w:hAnsi="Times New Roman" w:cs="Times New Roman"/>
          <w:sz w:val="26"/>
          <w:szCs w:val="26"/>
        </w:rPr>
        <w:t>*65%=448,8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688">
        <w:rPr>
          <w:rFonts w:ascii="Times New Roman" w:hAnsi="Times New Roman" w:cs="Times New Roman"/>
          <w:sz w:val="26"/>
          <w:szCs w:val="26"/>
        </w:rPr>
        <w:t>руб.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Ожидаемое поступление средств на 2015 год исходя из фактического поступления средств с увеличением на индексы дефляторы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Прогноз поступлений на 2016-2018 годы рассчитаны методом индексации. 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Прогноз на 2016 год – 448,8 тыс. руб.*109%= 489,2 тыс. руб.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>Арендная плата за использование имущества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Передача в аренду техники для выполнения работ по благоустройству села.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Поступление средств рассчитано исходя из фактического полугодового поступления, методом индексации.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Поступило за 2014 год – 143,6 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Поступило за 6 месяцев 2015 года – 69,6 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Ожидаемое поступление арендных платежей за имущество на 2015 год   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69,6/6*12=139,0 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Прогноз поступления на 2016 год=139,0 * 109%= 151,5 тыс. руб.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lastRenderedPageBreak/>
        <w:t>Расчеты по поступлениям неналоговых платежей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10"/>
          <w:szCs w:val="10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 Доход</w:t>
      </w:r>
      <w:r>
        <w:rPr>
          <w:rFonts w:ascii="Times New Roman" w:hAnsi="Times New Roman" w:cs="Times New Roman"/>
          <w:sz w:val="26"/>
          <w:szCs w:val="26"/>
        </w:rPr>
        <w:t>ы от предпринимательской и иной</w:t>
      </w:r>
      <w:r w:rsidRPr="00623688">
        <w:rPr>
          <w:rFonts w:ascii="Times New Roman" w:hAnsi="Times New Roman" w:cs="Times New Roman"/>
          <w:sz w:val="26"/>
          <w:szCs w:val="26"/>
        </w:rPr>
        <w:t>, приносящей доход деятельности.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Ожидаемое поступление исходя из фактического поступления за 6 месяцев 2015 года = 74/6*12=147,0 тыс. рублей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Ожидаемое поступление  доходов рассчитано исходя из  фактического поступления за 2014 год с увеличением на индексы дефляторы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Поступило за 2014 год -128,0 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Ожидаемое поступление на 2015 год – 128,0*112,8%= 144,4 тыс. руб.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За ожидаемое поступление принимается сумма в размере 144,4 тыс. руб.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Прогноз на 2016 год – 144,4 тыс. руб.*109%=157,4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688">
        <w:rPr>
          <w:rFonts w:ascii="Times New Roman" w:hAnsi="Times New Roman" w:cs="Times New Roman"/>
          <w:sz w:val="26"/>
          <w:szCs w:val="26"/>
        </w:rPr>
        <w:t>руб.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>Безвозмездные поступления.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Финансовая помощь из районного фонда финансовой поддержки на 2016 год составляет  7395,43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688">
        <w:rPr>
          <w:rFonts w:ascii="Times New Roman" w:hAnsi="Times New Roman" w:cs="Times New Roman"/>
          <w:sz w:val="26"/>
          <w:szCs w:val="26"/>
        </w:rPr>
        <w:t>руб., иные межбюджетные трансферты 4309,58 тыс. рублей</w:t>
      </w:r>
      <w:proofErr w:type="gramStart"/>
      <w:r w:rsidRPr="0062368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623688">
        <w:rPr>
          <w:rFonts w:ascii="Times New Roman" w:hAnsi="Times New Roman" w:cs="Times New Roman"/>
          <w:sz w:val="26"/>
          <w:szCs w:val="26"/>
        </w:rPr>
        <w:t>из краевого фонда финансовой поддержки 38,8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688">
        <w:rPr>
          <w:rFonts w:ascii="Times New Roman" w:hAnsi="Times New Roman" w:cs="Times New Roman"/>
          <w:sz w:val="26"/>
          <w:szCs w:val="26"/>
        </w:rPr>
        <w:t>руб., Иные межбюджетные трансферты бюджетам поселений на осуществление полномочий по организации библиотечного обслуживания 1850,67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688">
        <w:rPr>
          <w:rFonts w:ascii="Times New Roman" w:hAnsi="Times New Roman" w:cs="Times New Roman"/>
          <w:sz w:val="26"/>
          <w:szCs w:val="26"/>
        </w:rPr>
        <w:t xml:space="preserve">руб., 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Субвенции на государственную регистрацию актов гражданского состояния определены в сумме; на 2016 год -33,26 тыс. руб.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Субвенции на осуществление полномочий по первичному воинскому учету на территориях, где отсутствует военные </w:t>
      </w:r>
      <w:proofErr w:type="gramStart"/>
      <w:r w:rsidRPr="00623688">
        <w:rPr>
          <w:rFonts w:ascii="Times New Roman" w:hAnsi="Times New Roman" w:cs="Times New Roman"/>
          <w:sz w:val="26"/>
          <w:szCs w:val="26"/>
        </w:rPr>
        <w:t>комиссариаты</w:t>
      </w:r>
      <w:proofErr w:type="gramEnd"/>
      <w:r w:rsidRPr="00623688">
        <w:rPr>
          <w:rFonts w:ascii="Times New Roman" w:hAnsi="Times New Roman" w:cs="Times New Roman"/>
          <w:sz w:val="26"/>
          <w:szCs w:val="26"/>
        </w:rPr>
        <w:t xml:space="preserve"> составляют: 2015 год-  223,01 тыс. руб.</w:t>
      </w:r>
    </w:p>
    <w:p w:rsidR="00623688" w:rsidRPr="00623688" w:rsidRDefault="00623688" w:rsidP="006236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Прогноз общего объема доходов бюджета Лермонтовского сельского поселения  на 2016 год с учетом финансовой помощи из фонда поддержки составляет – 19474,25 тыс. рублей</w:t>
      </w:r>
    </w:p>
    <w:p w:rsidR="00623688" w:rsidRPr="00623688" w:rsidRDefault="00623688" w:rsidP="00623688">
      <w:pPr>
        <w:rPr>
          <w:rFonts w:ascii="Times New Roman" w:hAnsi="Times New Roman" w:cs="Times New Roman"/>
          <w:b/>
          <w:sz w:val="10"/>
          <w:szCs w:val="10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</w:p>
    <w:p w:rsidR="00623688" w:rsidRPr="00623688" w:rsidRDefault="00623688" w:rsidP="006236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>РАСХОДЫ</w:t>
      </w:r>
    </w:p>
    <w:p w:rsidR="00623688" w:rsidRPr="00623688" w:rsidRDefault="00623688" w:rsidP="00623688">
      <w:pPr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 xml:space="preserve">           Объем расходов бюджета поселения </w:t>
      </w:r>
      <w:r w:rsidRPr="00623688">
        <w:rPr>
          <w:rFonts w:ascii="Times New Roman" w:hAnsi="Times New Roman" w:cs="Times New Roman"/>
          <w:sz w:val="26"/>
          <w:szCs w:val="26"/>
        </w:rPr>
        <w:t>на 2016 год определен в размере 19474,25 тыс. рублей.</w:t>
      </w:r>
    </w:p>
    <w:p w:rsidR="00623688" w:rsidRPr="00623688" w:rsidRDefault="00623688" w:rsidP="00623688">
      <w:pPr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 Основными направлениями расходной политики являются социальные вопросы и </w:t>
      </w:r>
      <w:r w:rsidRPr="00623688">
        <w:rPr>
          <w:rFonts w:ascii="Times New Roman" w:hAnsi="Times New Roman" w:cs="Times New Roman"/>
          <w:sz w:val="26"/>
          <w:szCs w:val="26"/>
        </w:rPr>
        <w:t>расходы,</w:t>
      </w:r>
      <w:r w:rsidRPr="00623688">
        <w:rPr>
          <w:rFonts w:ascii="Times New Roman" w:hAnsi="Times New Roman" w:cs="Times New Roman"/>
          <w:sz w:val="26"/>
          <w:szCs w:val="26"/>
        </w:rPr>
        <w:t xml:space="preserve"> связанные с жизнеобеспечением населения.</w:t>
      </w:r>
    </w:p>
    <w:p w:rsidR="00623688" w:rsidRPr="00623688" w:rsidRDefault="00623688" w:rsidP="00623688">
      <w:pPr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23688">
        <w:rPr>
          <w:rFonts w:ascii="Times New Roman" w:hAnsi="Times New Roman" w:cs="Times New Roman"/>
          <w:b/>
          <w:sz w:val="26"/>
          <w:szCs w:val="26"/>
        </w:rPr>
        <w:t xml:space="preserve">Обоснование расходов бюджета на 2016 год по разделам  функциональной структуры.  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 xml:space="preserve">                              Раздел « Общегосударственные расходы»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 Структ</w:t>
      </w:r>
      <w:r>
        <w:rPr>
          <w:rFonts w:ascii="Times New Roman" w:hAnsi="Times New Roman" w:cs="Times New Roman"/>
          <w:sz w:val="26"/>
          <w:szCs w:val="26"/>
        </w:rPr>
        <w:t>ура расходов раздела состоит из</w:t>
      </w:r>
      <w:r w:rsidRPr="00623688">
        <w:rPr>
          <w:rFonts w:ascii="Times New Roman" w:hAnsi="Times New Roman" w:cs="Times New Roman"/>
          <w:sz w:val="26"/>
          <w:szCs w:val="26"/>
        </w:rPr>
        <w:t>: финансирования расходов на руководство и управлени</w:t>
      </w:r>
      <w:r>
        <w:rPr>
          <w:rFonts w:ascii="Times New Roman" w:hAnsi="Times New Roman" w:cs="Times New Roman"/>
          <w:sz w:val="26"/>
          <w:szCs w:val="26"/>
        </w:rPr>
        <w:t>е органом исполнительной власти</w:t>
      </w:r>
      <w:r w:rsidRPr="00623688">
        <w:rPr>
          <w:rFonts w:ascii="Times New Roman" w:hAnsi="Times New Roman" w:cs="Times New Roman"/>
          <w:sz w:val="26"/>
          <w:szCs w:val="26"/>
        </w:rPr>
        <w:t>, резервного фонда администрации, выполнения прочих полномочий и оценки недвижимости.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</w:t>
      </w:r>
      <w:r w:rsidRPr="00623688">
        <w:rPr>
          <w:rFonts w:ascii="Times New Roman" w:hAnsi="Times New Roman" w:cs="Times New Roman"/>
          <w:b/>
          <w:sz w:val="26"/>
          <w:szCs w:val="26"/>
        </w:rPr>
        <w:t xml:space="preserve">Расходные обязательства </w:t>
      </w:r>
      <w:r w:rsidRPr="00623688">
        <w:rPr>
          <w:rFonts w:ascii="Times New Roman" w:hAnsi="Times New Roman" w:cs="Times New Roman"/>
          <w:sz w:val="26"/>
          <w:szCs w:val="26"/>
        </w:rPr>
        <w:t>по обеспечению деятельности главы муниципального образования и  функционирование исполнительного органа поселения уст</w:t>
      </w:r>
      <w:r>
        <w:rPr>
          <w:rFonts w:ascii="Times New Roman" w:hAnsi="Times New Roman" w:cs="Times New Roman"/>
          <w:sz w:val="26"/>
          <w:szCs w:val="26"/>
        </w:rPr>
        <w:t>ановлены следующими нормативно-</w:t>
      </w:r>
      <w:r w:rsidRPr="00623688">
        <w:rPr>
          <w:rFonts w:ascii="Times New Roman" w:hAnsi="Times New Roman" w:cs="Times New Roman"/>
          <w:sz w:val="26"/>
          <w:szCs w:val="26"/>
        </w:rPr>
        <w:t>правовыми актами: Устав Лермонтовского сельского поселения; Закон Хабаровского края от 25.07.2007 г № 131 « О муниципальной службе в Хабаровском крае». Бюджетные расходы  на 2016 год составляют 831,8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623688">
        <w:rPr>
          <w:rFonts w:ascii="Times New Roman" w:hAnsi="Times New Roman" w:cs="Times New Roman"/>
          <w:sz w:val="26"/>
          <w:szCs w:val="26"/>
        </w:rPr>
        <w:t>.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623688">
        <w:rPr>
          <w:rFonts w:ascii="Times New Roman" w:hAnsi="Times New Roman" w:cs="Times New Roman"/>
          <w:b/>
          <w:sz w:val="26"/>
          <w:szCs w:val="26"/>
        </w:rPr>
        <w:t xml:space="preserve">Резервный фонд </w:t>
      </w:r>
      <w:r w:rsidRPr="00623688">
        <w:rPr>
          <w:rFonts w:ascii="Times New Roman" w:hAnsi="Times New Roman" w:cs="Times New Roman"/>
          <w:sz w:val="26"/>
          <w:szCs w:val="26"/>
        </w:rPr>
        <w:t xml:space="preserve">сформирован на основании Бюджетного кодекса Российской Федерации и Постановления главы администрации Лермонтовского сельского поселения </w:t>
      </w:r>
      <w:proofErr w:type="gramStart"/>
      <w:r w:rsidRPr="0062368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23688">
        <w:rPr>
          <w:rFonts w:ascii="Times New Roman" w:hAnsi="Times New Roman" w:cs="Times New Roman"/>
          <w:sz w:val="26"/>
          <w:szCs w:val="26"/>
        </w:rPr>
        <w:t xml:space="preserve">  № «</w:t>
      </w:r>
      <w:proofErr w:type="gramStart"/>
      <w:r w:rsidRPr="00623688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623688">
        <w:rPr>
          <w:rFonts w:ascii="Times New Roman" w:hAnsi="Times New Roman" w:cs="Times New Roman"/>
          <w:sz w:val="26"/>
          <w:szCs w:val="26"/>
        </w:rPr>
        <w:t xml:space="preserve"> утверждении Положения о порядке расходования средств резервного фонда администрации Лерм</w:t>
      </w:r>
      <w:r>
        <w:rPr>
          <w:rFonts w:ascii="Times New Roman" w:hAnsi="Times New Roman" w:cs="Times New Roman"/>
          <w:sz w:val="26"/>
          <w:szCs w:val="26"/>
        </w:rPr>
        <w:t>онтовского сельского поселения»</w:t>
      </w:r>
      <w:r w:rsidRPr="006236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>Расходы на 2016 год предусмотрены в сумме 100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688">
        <w:rPr>
          <w:rFonts w:ascii="Times New Roman" w:hAnsi="Times New Roman" w:cs="Times New Roman"/>
          <w:sz w:val="26"/>
          <w:szCs w:val="26"/>
        </w:rPr>
        <w:t>руб.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</w:t>
      </w:r>
      <w:r w:rsidRPr="00623688">
        <w:rPr>
          <w:rFonts w:ascii="Times New Roman" w:hAnsi="Times New Roman" w:cs="Times New Roman"/>
          <w:b/>
          <w:sz w:val="26"/>
          <w:szCs w:val="26"/>
        </w:rPr>
        <w:t xml:space="preserve">Расходы по выполнению прочих полномочий </w:t>
      </w:r>
      <w:r w:rsidRPr="00623688">
        <w:rPr>
          <w:rFonts w:ascii="Times New Roman" w:hAnsi="Times New Roman" w:cs="Times New Roman"/>
          <w:sz w:val="26"/>
          <w:szCs w:val="26"/>
        </w:rPr>
        <w:t>планируются в сумме 10,0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688">
        <w:rPr>
          <w:rFonts w:ascii="Times New Roman" w:hAnsi="Times New Roman" w:cs="Times New Roman"/>
          <w:sz w:val="26"/>
          <w:szCs w:val="26"/>
        </w:rPr>
        <w:t>руб.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</w:t>
      </w:r>
      <w:r w:rsidRPr="00623688">
        <w:rPr>
          <w:rFonts w:ascii="Times New Roman" w:hAnsi="Times New Roman" w:cs="Times New Roman"/>
          <w:b/>
          <w:sz w:val="26"/>
          <w:szCs w:val="26"/>
        </w:rPr>
        <w:t xml:space="preserve"> Расходы по выполнению полномочий на государственную регистрацию актов гражданского состояния </w:t>
      </w:r>
      <w:r w:rsidRPr="00623688">
        <w:rPr>
          <w:rFonts w:ascii="Times New Roman" w:hAnsi="Times New Roman" w:cs="Times New Roman"/>
          <w:sz w:val="26"/>
          <w:szCs w:val="26"/>
        </w:rPr>
        <w:t xml:space="preserve">рассчитаны </w:t>
      </w:r>
      <w:proofErr w:type="gramStart"/>
      <w:r w:rsidRPr="00623688">
        <w:rPr>
          <w:rFonts w:ascii="Times New Roman" w:hAnsi="Times New Roman" w:cs="Times New Roman"/>
          <w:sz w:val="26"/>
          <w:szCs w:val="26"/>
        </w:rPr>
        <w:t>согласно Постановления</w:t>
      </w:r>
      <w:proofErr w:type="gramEnd"/>
      <w:r w:rsidRPr="00623688">
        <w:rPr>
          <w:rFonts w:ascii="Times New Roman" w:hAnsi="Times New Roman" w:cs="Times New Roman"/>
          <w:sz w:val="26"/>
          <w:szCs w:val="26"/>
        </w:rPr>
        <w:t xml:space="preserve"> администрации Лермонтовского сельского поселения «Об осуществлении полномочий на государственную регистрацию актов гражданского состояния» от 15.01.2010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688">
        <w:rPr>
          <w:rFonts w:ascii="Times New Roman" w:hAnsi="Times New Roman" w:cs="Times New Roman"/>
          <w:sz w:val="26"/>
          <w:szCs w:val="26"/>
        </w:rPr>
        <w:t>6 и составили  33,26  тыс. руб.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</w:t>
      </w:r>
      <w:r w:rsidRPr="00623688">
        <w:rPr>
          <w:rFonts w:ascii="Times New Roman" w:hAnsi="Times New Roman" w:cs="Times New Roman"/>
          <w:b/>
          <w:sz w:val="26"/>
          <w:szCs w:val="26"/>
        </w:rPr>
        <w:t>Расходы</w:t>
      </w:r>
      <w:r w:rsidRPr="00623688">
        <w:rPr>
          <w:rFonts w:ascii="Times New Roman" w:hAnsi="Times New Roman" w:cs="Times New Roman"/>
          <w:sz w:val="26"/>
          <w:szCs w:val="26"/>
        </w:rPr>
        <w:t xml:space="preserve">  </w:t>
      </w:r>
      <w:r w:rsidRPr="00623688">
        <w:rPr>
          <w:rFonts w:ascii="Times New Roman" w:hAnsi="Times New Roman" w:cs="Times New Roman"/>
          <w:b/>
          <w:sz w:val="26"/>
          <w:szCs w:val="26"/>
        </w:rPr>
        <w:t>по  осуществлению первичного воинского учета на территориях</w:t>
      </w:r>
      <w:proofErr w:type="gramStart"/>
      <w:r w:rsidRPr="00623688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623688">
        <w:rPr>
          <w:rFonts w:ascii="Times New Roman" w:hAnsi="Times New Roman" w:cs="Times New Roman"/>
          <w:b/>
          <w:sz w:val="26"/>
          <w:szCs w:val="26"/>
        </w:rPr>
        <w:t xml:space="preserve">где отсутствуют военные комиссариаты </w:t>
      </w:r>
      <w:r w:rsidRPr="00623688">
        <w:rPr>
          <w:rFonts w:ascii="Times New Roman" w:hAnsi="Times New Roman" w:cs="Times New Roman"/>
          <w:sz w:val="26"/>
          <w:szCs w:val="26"/>
        </w:rPr>
        <w:t xml:space="preserve"> рассчитаны согласно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№46 от 30.11.2010г, в соответствии с выделенными субвенциями и составляют 223,01 тыс. руб.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По разделу </w:t>
      </w:r>
      <w:r w:rsidRPr="00623688">
        <w:rPr>
          <w:rFonts w:ascii="Times New Roman" w:hAnsi="Times New Roman" w:cs="Times New Roman"/>
          <w:b/>
          <w:sz w:val="26"/>
          <w:szCs w:val="26"/>
        </w:rPr>
        <w:t xml:space="preserve">«Противопожарная безопасность» разработана программа «Обеспечение пожарной безопасности на территории Лермонтовского сельского поселения на 2015-2017 годы» </w:t>
      </w:r>
      <w:r w:rsidRPr="00623688">
        <w:rPr>
          <w:rFonts w:ascii="Times New Roman" w:hAnsi="Times New Roman" w:cs="Times New Roman"/>
          <w:sz w:val="26"/>
          <w:szCs w:val="26"/>
        </w:rPr>
        <w:t>планируемая сумма на 2016 год составила 611,0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688">
        <w:rPr>
          <w:rFonts w:ascii="Times New Roman" w:hAnsi="Times New Roman" w:cs="Times New Roman"/>
          <w:sz w:val="26"/>
          <w:szCs w:val="26"/>
        </w:rPr>
        <w:t xml:space="preserve">рублей.    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Раздел «</w:t>
      </w:r>
      <w:r w:rsidRPr="00623688">
        <w:rPr>
          <w:rFonts w:ascii="Times New Roman" w:hAnsi="Times New Roman" w:cs="Times New Roman"/>
          <w:b/>
          <w:sz w:val="26"/>
          <w:szCs w:val="26"/>
        </w:rPr>
        <w:t>Дорожное хозяйство</w:t>
      </w:r>
      <w:r w:rsidRPr="00623688">
        <w:rPr>
          <w:rFonts w:ascii="Times New Roman" w:hAnsi="Times New Roman" w:cs="Times New Roman"/>
          <w:sz w:val="26"/>
          <w:szCs w:val="26"/>
        </w:rPr>
        <w:t xml:space="preserve">»  на 2016 год определен в размере 2464,6 тыс. рублей </w:t>
      </w:r>
      <w:proofErr w:type="gramStart"/>
      <w:r w:rsidRPr="0062368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23688">
        <w:rPr>
          <w:rFonts w:ascii="Times New Roman" w:hAnsi="Times New Roman" w:cs="Times New Roman"/>
          <w:sz w:val="26"/>
          <w:szCs w:val="26"/>
        </w:rPr>
        <w:t xml:space="preserve"> утвержденной сметы расходов с 20% резервным фондом.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Раздел </w:t>
      </w:r>
      <w:r w:rsidRPr="00623688">
        <w:rPr>
          <w:rFonts w:ascii="Times New Roman" w:hAnsi="Times New Roman" w:cs="Times New Roman"/>
          <w:b/>
          <w:sz w:val="26"/>
          <w:szCs w:val="26"/>
        </w:rPr>
        <w:t>« Жилищно-коммунальное хозяйство».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Расходы по разделу направлены на улучшение условий жизнеобеспечения населения и улучшени</w:t>
      </w:r>
      <w:r>
        <w:rPr>
          <w:rFonts w:ascii="Times New Roman" w:hAnsi="Times New Roman" w:cs="Times New Roman"/>
          <w:sz w:val="26"/>
          <w:szCs w:val="26"/>
        </w:rPr>
        <w:t>я благоустройства села</w:t>
      </w:r>
      <w:r w:rsidRPr="00623688">
        <w:rPr>
          <w:rFonts w:ascii="Times New Roman" w:hAnsi="Times New Roman" w:cs="Times New Roman"/>
          <w:sz w:val="26"/>
          <w:szCs w:val="26"/>
        </w:rPr>
        <w:t>. На 2016 год планируется затратить на эти цели 780,49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688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2368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  Раздел </w:t>
      </w:r>
      <w:r w:rsidRPr="00623688">
        <w:rPr>
          <w:rFonts w:ascii="Times New Roman" w:hAnsi="Times New Roman" w:cs="Times New Roman"/>
          <w:b/>
          <w:sz w:val="26"/>
          <w:szCs w:val="26"/>
        </w:rPr>
        <w:t>« Культура»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Расходные обязательства определены Уставом Лермонтовского сельского поселения,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приняты по программе «Развитие культуры на селе»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Бюджетные ассигнования на исполнение расходных обязательств на 2016 год предусмотрены в сумме 7763,07 тыс. руб.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23688">
        <w:rPr>
          <w:rFonts w:ascii="Times New Roman" w:hAnsi="Times New Roman" w:cs="Times New Roman"/>
          <w:sz w:val="26"/>
          <w:szCs w:val="26"/>
        </w:rPr>
        <w:t>из них: на обеспечение деятельности библиотек – 1850,67 тыс. руб.; дома культуры – 5912,4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688">
        <w:rPr>
          <w:rFonts w:ascii="Times New Roman" w:hAnsi="Times New Roman" w:cs="Times New Roman"/>
          <w:sz w:val="26"/>
          <w:szCs w:val="26"/>
        </w:rPr>
        <w:t>руб.</w:t>
      </w:r>
    </w:p>
    <w:p w:rsidR="00623688" w:rsidRPr="00623688" w:rsidRDefault="00623688" w:rsidP="006236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688">
        <w:rPr>
          <w:rFonts w:ascii="Times New Roman" w:hAnsi="Times New Roman" w:cs="Times New Roman"/>
          <w:b/>
          <w:sz w:val="26"/>
          <w:szCs w:val="26"/>
        </w:rPr>
        <w:t>Дефицит бюджета поселения.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  <w:r w:rsidRPr="00623688">
        <w:rPr>
          <w:rFonts w:ascii="Times New Roman" w:hAnsi="Times New Roman" w:cs="Times New Roman"/>
          <w:sz w:val="26"/>
          <w:szCs w:val="26"/>
        </w:rPr>
        <w:t xml:space="preserve">    На 2016 год проект бюджета запланирован без  дефицита. </w:t>
      </w:r>
    </w:p>
    <w:p w:rsidR="00623688" w:rsidRPr="00623688" w:rsidRDefault="00623688" w:rsidP="00623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 Приложение 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 к Решению Со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от 13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.2015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 xml:space="preserve"> 33</w:t>
      </w:r>
    </w:p>
    <w:p w:rsidR="00763CE4" w:rsidRDefault="00763CE4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CE4" w:rsidRPr="00AB1085" w:rsidRDefault="00763CE4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23688" w:rsidRDefault="00AB1085" w:rsidP="00AB1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</w:t>
      </w:r>
      <w:r w:rsidR="00763CE4" w:rsidRPr="00763CE4">
        <w:rPr>
          <w:rFonts w:ascii="Times New Roman" w:hAnsi="Times New Roman" w:cs="Times New Roman"/>
          <w:b/>
          <w:sz w:val="28"/>
          <w:szCs w:val="28"/>
        </w:rPr>
        <w:t xml:space="preserve">проекту  бюджета </w:t>
      </w:r>
    </w:p>
    <w:p w:rsidR="00AB1085" w:rsidRPr="00763CE4" w:rsidRDefault="00763CE4" w:rsidP="00AB1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CE4">
        <w:rPr>
          <w:rFonts w:ascii="Times New Roman" w:hAnsi="Times New Roman" w:cs="Times New Roman"/>
          <w:b/>
          <w:sz w:val="28"/>
          <w:szCs w:val="28"/>
        </w:rPr>
        <w:t>Лермонтовск</w:t>
      </w:r>
      <w:r w:rsidR="00623688">
        <w:rPr>
          <w:rFonts w:ascii="Times New Roman" w:hAnsi="Times New Roman" w:cs="Times New Roman"/>
          <w:b/>
          <w:sz w:val="28"/>
          <w:szCs w:val="28"/>
        </w:rPr>
        <w:t>ого сельского  поселения на 2016</w:t>
      </w:r>
      <w:r w:rsidRPr="00763CE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год рождения______________________________________________________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3CE4" w:rsidRDefault="00AB1085" w:rsidP="00763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по </w:t>
      </w:r>
      <w:r w:rsidR="00763CE4" w:rsidRPr="00763CE4">
        <w:rPr>
          <w:rFonts w:ascii="Times New Roman" w:hAnsi="Times New Roman" w:cs="Times New Roman"/>
          <w:sz w:val="28"/>
          <w:szCs w:val="28"/>
        </w:rPr>
        <w:t xml:space="preserve">проекту  бюджета Лермонтовского сельского  </w:t>
      </w:r>
      <w:r w:rsidR="00763CE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763CE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B1085" w:rsidRPr="00763CE4" w:rsidRDefault="00763CE4" w:rsidP="00AB108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88">
        <w:rPr>
          <w:rFonts w:ascii="Times New Roman" w:hAnsi="Times New Roman" w:cs="Times New Roman"/>
          <w:sz w:val="28"/>
          <w:szCs w:val="28"/>
        </w:rPr>
        <w:t>2016</w:t>
      </w:r>
      <w:r w:rsidRPr="00763CE4">
        <w:rPr>
          <w:rFonts w:ascii="Times New Roman" w:hAnsi="Times New Roman" w:cs="Times New Roman"/>
          <w:sz w:val="28"/>
          <w:szCs w:val="28"/>
        </w:rPr>
        <w:t xml:space="preserve"> год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подпись и дата_____________________________________________________</w:t>
      </w:r>
    </w:p>
    <w:p w:rsidR="007A329A" w:rsidRPr="00F464B9" w:rsidRDefault="007A329A" w:rsidP="007A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Pr="00F464B9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60E4" w:rsidRPr="00AB1085" w:rsidRDefault="007360E4" w:rsidP="00AB1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AB108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8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B5743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3F9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035C"/>
    <w:rsid w:val="0025266F"/>
    <w:rsid w:val="00253172"/>
    <w:rsid w:val="00256D14"/>
    <w:rsid w:val="00257CB1"/>
    <w:rsid w:val="00260AB4"/>
    <w:rsid w:val="002625A3"/>
    <w:rsid w:val="00263AA0"/>
    <w:rsid w:val="00264206"/>
    <w:rsid w:val="00264E4B"/>
    <w:rsid w:val="00265E17"/>
    <w:rsid w:val="00274F03"/>
    <w:rsid w:val="00275DAC"/>
    <w:rsid w:val="00276800"/>
    <w:rsid w:val="00280453"/>
    <w:rsid w:val="002805DB"/>
    <w:rsid w:val="00281E4C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15B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3CA1"/>
    <w:rsid w:val="00446294"/>
    <w:rsid w:val="00452BE0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402C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3D6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3688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4951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3CE4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329A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636C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39D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9F4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5B8E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27A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4AC9"/>
    <w:rsid w:val="00AA5022"/>
    <w:rsid w:val="00AB1085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385C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3B5A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20A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2656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02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02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92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4047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8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9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65FC-5640-4786-8369-93FE2C3C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19</cp:revision>
  <cp:lastPrinted>2015-11-17T05:26:00Z</cp:lastPrinted>
  <dcterms:created xsi:type="dcterms:W3CDTF">2014-05-15T03:42:00Z</dcterms:created>
  <dcterms:modified xsi:type="dcterms:W3CDTF">2015-11-17T05:34:00Z</dcterms:modified>
</cp:coreProperties>
</file>