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52" w:rsidRDefault="00653FC7" w:rsidP="00653F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53FC7" w:rsidRPr="00653FC7" w:rsidRDefault="00653FC7" w:rsidP="00653F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021252" w:rsidRPr="00653FC7" w:rsidRDefault="00021252" w:rsidP="00653F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1252" w:rsidRDefault="00021252" w:rsidP="00653F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53FC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3FC7" w:rsidRDefault="00653FC7" w:rsidP="00653F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3FC7" w:rsidRPr="00653FC7" w:rsidRDefault="00653FC7" w:rsidP="00653F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21252" w:rsidRDefault="00653FC7" w:rsidP="00653FC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27.07.2015 № 55</w:t>
      </w:r>
      <w:bookmarkStart w:id="0" w:name="_GoBack"/>
      <w:bookmarkEnd w:id="0"/>
    </w:p>
    <w:p w:rsidR="00653FC7" w:rsidRDefault="00653FC7" w:rsidP="00653FC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53FC7" w:rsidRDefault="00653FC7" w:rsidP="00653FC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3FC7" w:rsidRDefault="00653FC7" w:rsidP="00653FC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значений коэффициентов к арендной плате за использование земельных участков, государственная собственность на которые не разграничена, на территории Лермонтовского сельского поселения Бикинского муниципального района Хабаровского края на 2015 год</w:t>
      </w:r>
    </w:p>
    <w:p w:rsidR="00653FC7" w:rsidRDefault="00653FC7" w:rsidP="00653FC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3FC7" w:rsidRPr="00653FC7" w:rsidRDefault="00653FC7" w:rsidP="00653F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1252" w:rsidRPr="00653FC7" w:rsidRDefault="00021252" w:rsidP="00653F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1252" w:rsidRDefault="00653FC7" w:rsidP="00653F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1252" w:rsidRPr="00653F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021252" w:rsidRPr="00653F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1252" w:rsidRPr="00653FC7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(в редакции от 22.10.2014),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21252" w:rsidRPr="00653FC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21252" w:rsidRPr="00653FC7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 за использование земельных участков, государственная собственность на которые не разграничена, на территории Хабаровского края, утвержденным постановлением Правительства Хабаровского края от 30.12.2009 N 411-пр (в редакции от 24.09.2014),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поселения, </w:t>
      </w:r>
      <w:proofErr w:type="gramEnd"/>
    </w:p>
    <w:p w:rsidR="00653FC7" w:rsidRDefault="00653FC7" w:rsidP="00653FC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1252" w:rsidRPr="00653FC7" w:rsidRDefault="00653FC7" w:rsidP="00653F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252" w:rsidRPr="00653FC7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7" w:history="1">
        <w:r w:rsidR="00021252" w:rsidRPr="00653FC7">
          <w:rPr>
            <w:rFonts w:ascii="Times New Roman" w:hAnsi="Times New Roman" w:cs="Times New Roman"/>
            <w:sz w:val="28"/>
            <w:szCs w:val="28"/>
          </w:rPr>
          <w:t>значение</w:t>
        </w:r>
      </w:hyperlink>
      <w:r w:rsidR="00021252" w:rsidRPr="00653FC7">
        <w:rPr>
          <w:rFonts w:ascii="Times New Roman" w:hAnsi="Times New Roman" w:cs="Times New Roman"/>
          <w:sz w:val="28"/>
          <w:szCs w:val="28"/>
        </w:rPr>
        <w:t xml:space="preserve"> коэффициентов </w:t>
      </w:r>
      <w:r w:rsidR="00021252" w:rsidRPr="00653F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6DC4F" wp14:editId="01AE7C40">
            <wp:extent cx="344805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252" w:rsidRPr="00653FC7">
        <w:rPr>
          <w:rFonts w:ascii="Times New Roman" w:hAnsi="Times New Roman" w:cs="Times New Roman"/>
          <w:sz w:val="28"/>
          <w:szCs w:val="28"/>
        </w:rPr>
        <w:t xml:space="preserve"> по виду разрешенного использования и зонированию территории для расчета арендной платы за использование земельных участков,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="00021252" w:rsidRPr="00653FC7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 на 2015 год согласно приложению.</w:t>
      </w:r>
    </w:p>
    <w:p w:rsidR="00021252" w:rsidRPr="00653FC7" w:rsidRDefault="00653FC7" w:rsidP="00653F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252" w:rsidRPr="00653FC7">
        <w:rPr>
          <w:rFonts w:ascii="Times New Roman" w:hAnsi="Times New Roman" w:cs="Times New Roman"/>
          <w:sz w:val="28"/>
          <w:szCs w:val="28"/>
        </w:rPr>
        <w:t xml:space="preserve">2. Понижающий коэффициент 0,5 при расчете арендной платы за использование земельных участков,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021252" w:rsidRPr="00653FC7">
        <w:rPr>
          <w:rFonts w:ascii="Times New Roman" w:hAnsi="Times New Roman" w:cs="Times New Roman"/>
          <w:sz w:val="28"/>
          <w:szCs w:val="28"/>
        </w:rPr>
        <w:t>, предоставляемых для целей, связанных со строительством, в сроки, определенные распорядительным актом о предоставлении земельного участка, но не более чем один раз, для всех видов разрешенного использования.</w:t>
      </w:r>
    </w:p>
    <w:p w:rsidR="00021252" w:rsidRPr="00653FC7" w:rsidRDefault="00653FC7" w:rsidP="00653F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021252" w:rsidRPr="00653FC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Сборнике нормативных правовых актов и разместить </w:t>
      </w:r>
      <w:r w:rsidR="00021252" w:rsidRPr="00653FC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021252" w:rsidRPr="00653FC7" w:rsidRDefault="00653FC7" w:rsidP="00653F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252" w:rsidRPr="00653FC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53FC7" w:rsidRDefault="00653FC7" w:rsidP="00653F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1252" w:rsidRDefault="00653FC7" w:rsidP="00653FC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С.А. Королев</w:t>
      </w:r>
    </w:p>
    <w:p w:rsidR="00653FC7" w:rsidRDefault="00653FC7" w:rsidP="00653FC7">
      <w:pPr>
        <w:pStyle w:val="a6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021252" w:rsidRPr="00653FC7" w:rsidRDefault="00653FC7" w:rsidP="00653FC7">
      <w:pPr>
        <w:pStyle w:val="a6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1252" w:rsidRPr="00653FC7">
        <w:rPr>
          <w:rFonts w:ascii="Times New Roman" w:hAnsi="Times New Roman" w:cs="Times New Roman"/>
          <w:sz w:val="28"/>
          <w:szCs w:val="28"/>
        </w:rPr>
        <w:t>риложение</w:t>
      </w:r>
    </w:p>
    <w:p w:rsidR="00021252" w:rsidRPr="00653FC7" w:rsidRDefault="00021252" w:rsidP="00653FC7">
      <w:pPr>
        <w:pStyle w:val="a6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653FC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1252" w:rsidRDefault="00021252" w:rsidP="00653FC7">
      <w:pPr>
        <w:pStyle w:val="a6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653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3FC7">
        <w:rPr>
          <w:rFonts w:ascii="Times New Roman" w:hAnsi="Times New Roman" w:cs="Times New Roman"/>
          <w:sz w:val="28"/>
          <w:szCs w:val="28"/>
        </w:rPr>
        <w:t>Лермонтовского</w:t>
      </w:r>
    </w:p>
    <w:p w:rsidR="00653FC7" w:rsidRPr="00653FC7" w:rsidRDefault="00653FC7" w:rsidP="00653FC7">
      <w:pPr>
        <w:pStyle w:val="a6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1252" w:rsidRDefault="00021252" w:rsidP="00653FC7">
      <w:pPr>
        <w:pStyle w:val="a6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653FC7">
        <w:rPr>
          <w:rFonts w:ascii="Times New Roman" w:hAnsi="Times New Roman" w:cs="Times New Roman"/>
          <w:sz w:val="28"/>
          <w:szCs w:val="28"/>
        </w:rPr>
        <w:t xml:space="preserve">от </w:t>
      </w:r>
      <w:r w:rsidR="00653FC7">
        <w:rPr>
          <w:rFonts w:ascii="Times New Roman" w:hAnsi="Times New Roman" w:cs="Times New Roman"/>
          <w:sz w:val="28"/>
          <w:szCs w:val="28"/>
        </w:rPr>
        <w:t>27.07.2015 № 55</w:t>
      </w:r>
    </w:p>
    <w:p w:rsidR="00653FC7" w:rsidRPr="00653FC7" w:rsidRDefault="00653FC7" w:rsidP="00653FC7">
      <w:pPr>
        <w:pStyle w:val="a6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021252" w:rsidRPr="00653FC7" w:rsidRDefault="00021252" w:rsidP="00653F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1252" w:rsidRDefault="00021252" w:rsidP="00653FC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3FC7">
        <w:rPr>
          <w:rFonts w:ascii="Times New Roman" w:hAnsi="Times New Roman" w:cs="Times New Roman"/>
          <w:bCs/>
          <w:sz w:val="28"/>
          <w:szCs w:val="28"/>
        </w:rPr>
        <w:t>ЗНАЧЕНИЯ</w:t>
      </w:r>
    </w:p>
    <w:p w:rsidR="00653FC7" w:rsidRPr="00653FC7" w:rsidRDefault="00653FC7" w:rsidP="00653FC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коэффициентов </w:t>
      </w:r>
      <w:r w:rsidRPr="00653F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4723C" wp14:editId="2A9F4037">
            <wp:extent cx="344805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по виду разрешенного использования и зонированию территории для расчета арендной платы за использование земельных участков, государственная собственность на которые не разграничена, на территории Лермонтовского сельского поселения на 2015 год</w:t>
      </w:r>
    </w:p>
    <w:p w:rsidR="00021252" w:rsidRDefault="00021252" w:rsidP="0002125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077"/>
        <w:gridCol w:w="2891"/>
        <w:gridCol w:w="1304"/>
        <w:gridCol w:w="1531"/>
      </w:tblGrid>
      <w:tr w:rsidR="00021252" w:rsidTr="00653F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Категория земель, группы видов разрешенного использования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Состав видов разрешенного использования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Значения коэффициента </w:t>
            </w:r>
            <w:r w:rsidRPr="00653F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437B5" wp14:editId="1309FF76">
                  <wp:extent cx="241300" cy="23304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52" w:rsidTr="00653F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среднеэтаж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0,00036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0,00036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0,00036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малоэтажной жилой застройки, в том числе объектов индивидуального жилого строительства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0,01232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0,00188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0,01232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гаражей для хранения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0,03229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0,03229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0,03229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Садовые, огородные, дачные земельные участки, предоставленные гражданам для личного 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0,00327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 бытового обслуживания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оптовой и розничной торговли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0,31076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0,10432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0,01753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0,02342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0,03041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0,02929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0,12063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0,01753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0,02342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0,12063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0,01753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0,09954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0,01753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0,09954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0,01753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0,09954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0,01753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0,09954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0,01753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0,09954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0,16159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0,17536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1,21196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1,52272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гостиниц, а также прочих мест временного проживания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0,01221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нистративных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офисных зданий, объектов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науки, здраво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и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обеспечения, физической культуры и спорта, культуры, искусства, религии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культуры и искусства, религиозных групп и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тельного назначения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домов отдыха, пансионатов, кемпингов, туристических баз,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нарных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палаточных лагерей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0,00442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водственных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 (в том числе типографий)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0,00255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тепловых электростанций,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гидроэ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лектростанций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атомных электростанций и иных видов электростанций, а также объектов, их обслуживающих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0,00058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речных портов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0,00977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0,00761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0,00977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0,00977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0,00977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водных объектов (природные или искусственные водоемы, водоток либо иной объект,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0,00290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разработки полезных ископаемых, 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железнодорожных путей, автомобиль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дорог,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r w:rsidR="004F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внутренних водных путей, причалов, пристаней, полос отвода железных и автомобильных дорог, водных путей, трубопроводов, ка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бельных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радиорелей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воздушных линий связи и линий радиофикации, воз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душных линий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ропередачи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руктивных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сооружений,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необходимых для эксплуатации, содержания, строи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реконструк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ремонта,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наземных и подземных зданий, строений,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устройств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энергетики и связи; размещения наземных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туры спутниковой связи, объектов кос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мической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обороны, безопасности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0,35127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0,23418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доставленные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(занятые) для размещения сети связи и объектов инженерной 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чивающих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эфирную на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земную трансляцию об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щероссийских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общедоступных теле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каналов и радиоканалов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0,01400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0,002700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особо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няемыми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риями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объектами, в том числе городски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ми лесами, скверами, парками, городскими садами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особое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природоохран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(земли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дарственных природных заповедников, памятников природы, национальных парков, природных парков, ботанических садов)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0,12874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(пашни, сенокосы, пастбища, залежи; земли, занятые многолетними насаждениями)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0,06615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0,01171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0,06615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0,01171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законодательст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пользования, занятые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щадями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шоссе, аллеями, заставами, переулками, тупиками, улицами,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проез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набережными,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скве</w:t>
            </w:r>
            <w:proofErr w:type="spellEnd"/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0,08500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0,08500</w:t>
            </w:r>
          </w:p>
        </w:tc>
      </w:tr>
      <w:tr w:rsidR="00021252" w:rsidTr="00653FC7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Земли, пригодные под пашни,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пастбища, занятые залежами, многолетними насаждениями, внутрихозяйственными дорогами, ком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муникациями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лесными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насажде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предназначен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защиты земель от воздействия негатив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(вредных) при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родных, антропоген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техногенных явлений, а также водными объектами, предназначенными для обеспечения внутрихозяйственной деятельности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сельскохозяйственного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4F169F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1252" w:rsidRPr="00653F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l Par417  o 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Земли,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малопригод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под пашню, но используемые для выращивания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торых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многолетних насаждений, ягодников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Земли, занятые зданиями,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сооружениями, используемыми для производства,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r w:rsidR="009A5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первичной переработки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кохозяйственной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Земли, занятые 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водными объектами и используемые для предпринимательской деятельности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Земли, на которых располагаются леса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Прочие земли сельскохозяйственного назначения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Болота, нарушенные земли, земли, занятые полигонами, свалками, оврагами, песками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промышленности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назначенные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и административных зданий, строений, сооружений и обслуживающих их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деятельности организаций и (или) эксплуатации объектов промышленности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2,11095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2,11095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энергетики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назначенные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гидроэлектростанций, атомных станций, ядерных установок, пунктов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транспорта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желез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нодорожного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включающие в себя земель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участки для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железнодорожных путей; размещения,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луатации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расширения и реконструкции строений, зданий, сооружений, в том числе железнодорожных 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вокзалов,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железнодорож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станций, а также уст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ройств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объектов, необходимых для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содержания, строи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реконструкции, ремонта, развития назем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зданий, строений, сооружений, устройств и других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транспорта;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установления полос отвода железных дорог, за исключением земельных участков, пере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данных в аренду гражданам и юридическим лицам для сельскохозяйственного использования, оказания услуг пассажирам,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склади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грузов, устройства погрузочно-разгрузочных площадок, сооружения прирельсовых складов (за исключением складов горюче-смазочных матери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автозаправочных станций любых типов, а также складов,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наченных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опасных веществ и мате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риалов) и иных целей при условии соблюдения требований безопасности движения, установленных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бильного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включающие в себя земель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участки для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их конструктивных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дорожных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; размещения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автовок</w:t>
            </w:r>
            <w:proofErr w:type="spellEnd"/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залов и автостанций,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автомобиль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объектов дорожного хозяйства, необходимых для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содержания, строи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реконструкции, ремонта, развития назем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зданий, строений, сооружений, устройств; установления полос отвода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дорог, за исключением земельных участков для размещения объектов до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рожного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сервиса;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дорожного сервиса в полосах отвода автомобильных дорог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морс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кого, внутреннего водного транспорта, включающие в себя земельные участки для размещения искусственно созданных внутренних водных путей; размещения морских и речных портов, причалов, пристаней, гид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ротехнических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других объектов, необходимых для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содержания, строи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реконструкции, ремонта, развития назем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 зданий, строений, сооружений, устройств и других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морского, внутреннего водного транспорта;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выделения береговой полосы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25.4.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воздуш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включаю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в себя земельные участки для размещения аэропортов, аэродромов, аэровокзалов, взлетно-посадочных полос, других наземных объектов,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ходимых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эксплуатации, содержания, строительства, реконструкции, ремонта, развития наземных и подземных зданий, строе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, сооружений, уст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ройств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воздушного транспорта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0,00777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связи, радиовещания, телевидения и информатики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доставленные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(занятые) для размещения сети связи и объектов инженерной инфраструктуры,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чивающих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эфирную назем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трансляцию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общерос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общедоступных телека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налов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радиоканалов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0,00300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0,00010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0,00010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0,01400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обороны и безопасности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назначенные</w:t>
            </w:r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подготовки и поддержания в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мой готовности Вооружен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Сил Российской Федерации, других войск, воинских формирований и органов (размещение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объектов, дислокация войск и сил флота, проведение учений и иных мероприятий)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охранных, санитар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но-защитных,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иных зон с особыми условиями земель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иного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иного специального назначения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1252" w:rsidTr="00653FC7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охраняе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тер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земель в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земель лечебно-оздоровительных 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местностей и курортов)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государственных природных заповедников, в том числе биосферных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природоохранного назначения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Земли запретных и 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пригородных зеленых зон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находятся учебно-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туристичес</w:t>
            </w:r>
            <w:proofErr w:type="spellEnd"/>
            <w:r w:rsidR="00653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кие тропы, трассы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</w:tr>
      <w:tr w:rsidR="00021252" w:rsidTr="00653FC7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историко-культурного назначения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35.1.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Земли объектов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Особо ценные земли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0,01500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рекреацион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(за исключением земель пригородных зеле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зон и земельных участков, на которых находятся учебно-туристические тропы, трассы)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0,00466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лечебно-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доровительных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и курортов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0,00466</w:t>
            </w:r>
          </w:p>
        </w:tc>
      </w:tr>
      <w:tr w:rsidR="00021252" w:rsidTr="00653FC7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Земли садоводческих, огороднических и дачных объединений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пользования, за исключением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занных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r:id="rId11" w:history="1">
              <w:r w:rsidRPr="00653FC7">
                <w:rPr>
                  <w:rFonts w:ascii="Times New Roman" w:hAnsi="Times New Roman" w:cs="Times New Roman"/>
                  <w:sz w:val="24"/>
                  <w:szCs w:val="24"/>
                </w:rPr>
                <w:t>подпункте 4.2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0,03512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0,03512</w:t>
            </w:r>
          </w:p>
        </w:tc>
      </w:tr>
      <w:tr w:rsidR="00021252" w:rsidTr="00653FC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653FC7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21252" w:rsidRPr="0065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гражданам для </w:t>
            </w:r>
            <w:proofErr w:type="spellStart"/>
            <w:proofErr w:type="gram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пользования, за исключением указан</w:t>
            </w:r>
            <w:r w:rsidR="009B4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3F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r:id="rId12" w:history="1">
              <w:r w:rsidRPr="00653FC7">
                <w:rPr>
                  <w:rFonts w:ascii="Times New Roman" w:hAnsi="Times New Roman" w:cs="Times New Roman"/>
                  <w:sz w:val="24"/>
                  <w:szCs w:val="24"/>
                </w:rPr>
                <w:t>подпункте 4.1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653F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0,03512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21252" w:rsidRPr="00653FC7" w:rsidRDefault="00021252" w:rsidP="009A5F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C7">
              <w:rPr>
                <w:rFonts w:ascii="Times New Roman" w:hAnsi="Times New Roman" w:cs="Times New Roman"/>
                <w:sz w:val="24"/>
                <w:szCs w:val="24"/>
              </w:rPr>
              <w:t>0,03512</w:t>
            </w:r>
          </w:p>
        </w:tc>
      </w:tr>
    </w:tbl>
    <w:p w:rsidR="005F4241" w:rsidRDefault="005F4241" w:rsidP="00653FC7"/>
    <w:sectPr w:rsidR="005F4241" w:rsidSect="00653FC7">
      <w:pgSz w:w="12240" w:h="15840"/>
      <w:pgMar w:top="1134" w:right="680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52"/>
    <w:rsid w:val="00000DB4"/>
    <w:rsid w:val="00012F17"/>
    <w:rsid w:val="00021252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761C6"/>
    <w:rsid w:val="004951A2"/>
    <w:rsid w:val="004A3591"/>
    <w:rsid w:val="004D4911"/>
    <w:rsid w:val="004E4D97"/>
    <w:rsid w:val="004F169F"/>
    <w:rsid w:val="005006D3"/>
    <w:rsid w:val="00505C26"/>
    <w:rsid w:val="00527A5E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53FC7"/>
    <w:rsid w:val="006670EC"/>
    <w:rsid w:val="006777F1"/>
    <w:rsid w:val="00681569"/>
    <w:rsid w:val="006A214F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54644"/>
    <w:rsid w:val="00766620"/>
    <w:rsid w:val="00780EFE"/>
    <w:rsid w:val="00783C4C"/>
    <w:rsid w:val="007A26FB"/>
    <w:rsid w:val="007B65CA"/>
    <w:rsid w:val="007E4846"/>
    <w:rsid w:val="007F19FA"/>
    <w:rsid w:val="00802FE6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E312B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A5F80"/>
    <w:rsid w:val="009B43DC"/>
    <w:rsid w:val="009B4D32"/>
    <w:rsid w:val="009B5F9F"/>
    <w:rsid w:val="009E624C"/>
    <w:rsid w:val="00A14307"/>
    <w:rsid w:val="00A2492A"/>
    <w:rsid w:val="00A27E7F"/>
    <w:rsid w:val="00A31CB3"/>
    <w:rsid w:val="00A433AD"/>
    <w:rsid w:val="00A43D84"/>
    <w:rsid w:val="00A547EE"/>
    <w:rsid w:val="00A560AA"/>
    <w:rsid w:val="00A648D3"/>
    <w:rsid w:val="00A752A7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A7C54"/>
    <w:rsid w:val="00BB2630"/>
    <w:rsid w:val="00BC3F48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A37F7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2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%20Par33%20%20o%20" TargetMode="External"/><Relationship Id="rId12" Type="http://schemas.openxmlformats.org/officeDocument/2006/relationships/hyperlink" Target="l%20Par88%20%20o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5326CAC01B804354FD7F5774387D6DCFDA548F6722FDEAEF063ACCDCF7CAA0867E92C0D91C94B6686qDzAE%20o%20" TargetMode="External"/><Relationship Id="rId11" Type="http://schemas.openxmlformats.org/officeDocument/2006/relationships/hyperlink" Target="l%20Par92%20%20o%20" TargetMode="External"/><Relationship Id="rId5" Type="http://schemas.openxmlformats.org/officeDocument/2006/relationships/hyperlink" Target="consultantplus://offline/ref=A345326CAC01B8043551DAE31B1D8BD6DFA3A042F27B7E8AF1AB3EFBC4C52BED473EAB680091C9q4zEE%20o%20" TargetMode="External"/><Relationship Id="rId10" Type="http://schemas.openxmlformats.org/officeDocument/2006/relationships/hyperlink" Target="l%20Par417%20%20o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2015-07-27T00:25:00Z</cp:lastPrinted>
  <dcterms:created xsi:type="dcterms:W3CDTF">2015-07-27T00:25:00Z</dcterms:created>
  <dcterms:modified xsi:type="dcterms:W3CDTF">2015-07-27T02:31:00Z</dcterms:modified>
</cp:coreProperties>
</file>